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93" w:afterLines="30" w:line="520" w:lineRule="exact"/>
        <w:jc w:val="center"/>
        <w:rPr>
          <w:rFonts w:hint="eastAsia" w:hAnsi="宋体" w:eastAsia="黑体"/>
          <w:b/>
          <w:bCs/>
          <w:sz w:val="36"/>
          <w:szCs w:val="36"/>
        </w:rPr>
      </w:pPr>
      <w:r>
        <w:rPr>
          <w:rFonts w:hint="eastAsia" w:hAnsi="宋体" w:eastAsia="黑体"/>
          <w:b/>
          <w:bCs/>
          <w:sz w:val="36"/>
          <w:szCs w:val="36"/>
        </w:rPr>
        <w:t>2023年“一校一书”阅读推广活动书香班级奖</w:t>
      </w:r>
    </w:p>
    <w:p>
      <w:pPr>
        <w:spacing w:before="156" w:beforeLines="50" w:after="93" w:afterLines="30" w:line="520" w:lineRule="exact"/>
        <w:jc w:val="center"/>
        <w:rPr>
          <w:rFonts w:hint="default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hAnsi="宋体" w:eastAsia="黑体"/>
          <w:b/>
          <w:bCs/>
          <w:sz w:val="36"/>
          <w:szCs w:val="36"/>
        </w:rPr>
        <w:t>评奖方案</w:t>
      </w:r>
      <w:r>
        <w:rPr>
          <w:rFonts w:hint="eastAsia" w:hAnsi="宋体" w:eastAsia="黑体"/>
          <w:b/>
          <w:bCs/>
          <w:sz w:val="36"/>
          <w:szCs w:val="36"/>
          <w:lang w:val="en-US" w:eastAsia="zh-CN"/>
        </w:rPr>
        <w:t>草案</w:t>
      </w:r>
    </w:p>
    <w:p>
      <w:pPr>
        <w:spacing w:before="156" w:beforeLines="50" w:after="93" w:afterLines="30" w:line="520" w:lineRule="exact"/>
        <w:rPr>
          <w:rFonts w:hint="eastAsia" w:eastAsia="仿宋"/>
          <w:b/>
          <w:color w:val="auto"/>
          <w:sz w:val="28"/>
          <w:szCs w:val="30"/>
        </w:rPr>
      </w:pPr>
      <w:r>
        <w:rPr>
          <w:rFonts w:hint="eastAsia" w:eastAsia="仿宋"/>
          <w:b/>
          <w:color w:val="auto"/>
          <w:sz w:val="28"/>
          <w:szCs w:val="30"/>
        </w:rPr>
        <w:t>一、书香班级奖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1、评选条件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（1）“书香班级”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规模</w:t>
      </w:r>
      <w:r>
        <w:rPr>
          <w:rFonts w:hint="eastAsia" w:eastAsia="仿宋"/>
          <w:color w:val="auto"/>
          <w:sz w:val="28"/>
          <w:szCs w:val="30"/>
        </w:rPr>
        <w:t>：本科班级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住</w:t>
      </w:r>
      <w:r>
        <w:rPr>
          <w:rFonts w:hint="eastAsia" w:eastAsia="仿宋"/>
          <w:color w:val="auto"/>
          <w:sz w:val="28"/>
          <w:szCs w:val="30"/>
        </w:rPr>
        <w:t>校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学习且学生人数在</w:t>
      </w:r>
      <w:r>
        <w:rPr>
          <w:rFonts w:hint="eastAsia" w:eastAsia="仿宋"/>
          <w:color w:val="auto"/>
          <w:sz w:val="28"/>
          <w:szCs w:val="30"/>
        </w:rPr>
        <w:t>15人以上。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（2）“书香班级”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创建</w:t>
      </w:r>
      <w:r>
        <w:rPr>
          <w:rFonts w:hint="eastAsia" w:eastAsia="仿宋"/>
          <w:color w:val="auto"/>
          <w:sz w:val="28"/>
          <w:szCs w:val="30"/>
        </w:rPr>
        <w:t>机制：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有</w:t>
      </w:r>
      <w:r>
        <w:rPr>
          <w:rFonts w:hint="eastAsia" w:eastAsia="仿宋"/>
          <w:color w:val="auto"/>
          <w:sz w:val="28"/>
          <w:szCs w:val="30"/>
        </w:rPr>
        <w:t>班级读书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组织结构、读书</w:t>
      </w:r>
      <w:r>
        <w:rPr>
          <w:rFonts w:hint="eastAsia" w:eastAsia="仿宋"/>
          <w:color w:val="auto"/>
          <w:sz w:val="28"/>
          <w:szCs w:val="30"/>
        </w:rPr>
        <w:t>制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度</w:t>
      </w:r>
      <w:r>
        <w:rPr>
          <w:rFonts w:hint="eastAsia" w:eastAsia="仿宋"/>
          <w:color w:val="auto"/>
          <w:sz w:val="28"/>
          <w:szCs w:val="30"/>
        </w:rPr>
        <w:t>，有班级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读书</w:t>
      </w:r>
      <w:r>
        <w:rPr>
          <w:rFonts w:hint="eastAsia" w:eastAsia="仿宋"/>
          <w:color w:val="auto"/>
          <w:sz w:val="28"/>
          <w:szCs w:val="30"/>
        </w:rPr>
        <w:t>共建共读共享平台（如图书角、读后感分享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空间等等</w:t>
      </w:r>
      <w:r>
        <w:rPr>
          <w:rFonts w:hint="eastAsia" w:eastAsia="仿宋"/>
          <w:color w:val="auto"/>
          <w:sz w:val="28"/>
          <w:szCs w:val="30"/>
        </w:rPr>
        <w:t>），有良好的班级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共</w:t>
      </w:r>
      <w:r>
        <w:rPr>
          <w:rFonts w:hint="eastAsia" w:eastAsia="仿宋"/>
          <w:color w:val="auto"/>
          <w:sz w:val="28"/>
          <w:szCs w:val="30"/>
        </w:rPr>
        <w:t>读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实体</w:t>
      </w:r>
      <w:r>
        <w:rPr>
          <w:rFonts w:hint="eastAsia" w:eastAsia="仿宋"/>
          <w:color w:val="auto"/>
          <w:sz w:val="28"/>
          <w:szCs w:val="30"/>
        </w:rPr>
        <w:t>环境和读书氛围。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（3）“书香班级”建设目标及完成情况</w:t>
      </w:r>
      <w:r>
        <w:rPr>
          <w:rFonts w:hint="eastAsia" w:eastAsia="仿宋"/>
          <w:color w:val="auto"/>
          <w:sz w:val="28"/>
          <w:szCs w:val="30"/>
          <w:lang w:eastAsia="zh-CN"/>
        </w:rPr>
        <w:t>：</w:t>
      </w:r>
      <w:r>
        <w:rPr>
          <w:rFonts w:hint="eastAsia" w:eastAsia="仿宋"/>
          <w:color w:val="auto"/>
          <w:sz w:val="28"/>
          <w:szCs w:val="30"/>
        </w:rPr>
        <w:t>结合年度热点，按照党史文献、红色文献、国学经典、科普读物、中外名著等类别，确定年度书单，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每</w:t>
      </w:r>
      <w:r>
        <w:rPr>
          <w:rFonts w:hint="eastAsia" w:eastAsia="仿宋"/>
          <w:color w:val="auto"/>
          <w:sz w:val="28"/>
          <w:szCs w:val="30"/>
        </w:rPr>
        <w:t>年度共读10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种图书</w:t>
      </w:r>
      <w:r>
        <w:rPr>
          <w:rFonts w:hint="eastAsia" w:eastAsia="仿宋"/>
          <w:color w:val="auto"/>
          <w:sz w:val="28"/>
          <w:szCs w:val="30"/>
        </w:rPr>
        <w:t>以上，有班级阅读成效总结和班级读书报告。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（4）“书香班级”基础建设与特色情况</w:t>
      </w:r>
      <w:r>
        <w:rPr>
          <w:rFonts w:hint="eastAsia" w:eastAsia="仿宋"/>
          <w:color w:val="auto"/>
          <w:sz w:val="28"/>
          <w:szCs w:val="30"/>
          <w:lang w:eastAsia="zh-CN"/>
        </w:rPr>
        <w:t>：</w:t>
      </w:r>
      <w:r>
        <w:rPr>
          <w:rFonts w:hint="eastAsia" w:eastAsia="仿宋"/>
          <w:color w:val="auto"/>
          <w:sz w:val="28"/>
          <w:szCs w:val="30"/>
        </w:rPr>
        <w:t>围绕“读”“讲”“写”“传”“赛”开展好书香班级基础建设，全面培育班级学生的综合阅读素养；同时结合好班级特点，进一步创新书香班级建设形式。</w:t>
      </w:r>
    </w:p>
    <w:tbl>
      <w:tblPr>
        <w:tblStyle w:val="2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基</w:t>
            </w:r>
          </w:p>
          <w:p>
            <w:pPr>
              <w:jc w:val="center"/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础</w:t>
            </w:r>
          </w:p>
          <w:p>
            <w:pPr>
              <w:jc w:val="center"/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建</w:t>
            </w:r>
          </w:p>
          <w:p>
            <w:pPr>
              <w:jc w:val="center"/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设</w:t>
            </w:r>
          </w:p>
        </w:tc>
        <w:tc>
          <w:tcPr>
            <w:tcW w:w="4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hd w:val="clear" w:color="auto" w:fill="FFFFFF"/>
              </w:rPr>
              <w:t>要“读”</w:t>
            </w: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，班级应建立早读与夜读的自主阅读制、借助优秀教师与辅导员的导师领读制，帮助学生养成阅读习惯。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hd w:val="clear" w:color="auto" w:fill="FFFFFF"/>
              </w:rPr>
              <w:t>能“写”</w:t>
            </w: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，班级应督促学生完成读前计划、读时摘抄、读后心得的读书笔记撰写，帮助提高学生写作能力。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hd w:val="clear" w:color="auto" w:fill="FFFFFF"/>
              </w:rPr>
              <w:t>会“讲”</w:t>
            </w: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，班级应带领班级学生开展经典书籍的个人朗诵、小组交流活动，帮助班级形成浓厚的阅读氛围。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hd w:val="clear" w:color="auto" w:fill="FFFFFF"/>
              </w:rPr>
              <w:t>多“传”</w:t>
            </w: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，班级内部应利用公众号、微博建立阅读传播媒介，班级外部通过与高、中、小学班级结对的方式建立阅读传播桥梁，帮助班级加深阅读影响力。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hd w:val="clear" w:color="auto" w:fill="FFFFFF"/>
              </w:rPr>
              <w:t>敢“赛”</w:t>
            </w: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，班级应鼓励学生积极参加校级以上征文比赛并获奖。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特色建设</w:t>
            </w:r>
          </w:p>
        </w:tc>
        <w:tc>
          <w:tcPr>
            <w:tcW w:w="4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班级依托基础建设开展具有学校特色、班级特点的活动建设。</w:t>
            </w:r>
          </w:p>
        </w:tc>
      </w:tr>
    </w:tbl>
    <w:p>
      <w:pPr>
        <w:spacing w:line="480" w:lineRule="exact"/>
        <w:ind w:firstLine="560" w:firstLineChars="200"/>
        <w:rPr>
          <w:rFonts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2、评选材料及提交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（1）“书香班级”项目申报表1份。</w:t>
      </w:r>
    </w:p>
    <w:p>
      <w:pPr>
        <w:spacing w:line="480" w:lineRule="exact"/>
        <w:ind w:firstLine="560" w:firstLineChars="200"/>
        <w:rPr>
          <w:rFonts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（2）班级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学生名单表、</w:t>
      </w:r>
      <w:r>
        <w:rPr>
          <w:rFonts w:hint="eastAsia" w:eastAsia="仿宋"/>
          <w:color w:val="auto"/>
          <w:sz w:val="28"/>
          <w:szCs w:val="30"/>
        </w:rPr>
        <w:t>“书香班级”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创建</w:t>
      </w:r>
      <w:r>
        <w:rPr>
          <w:rFonts w:hint="eastAsia" w:eastAsia="仿宋"/>
          <w:color w:val="auto"/>
          <w:sz w:val="28"/>
          <w:szCs w:val="30"/>
        </w:rPr>
        <w:t>机制</w:t>
      </w:r>
      <w:r>
        <w:rPr>
          <w:rFonts w:hint="eastAsia" w:eastAsia="仿宋"/>
          <w:color w:val="auto"/>
          <w:sz w:val="28"/>
          <w:szCs w:val="30"/>
          <w:lang w:eastAsia="zh-CN"/>
        </w:rPr>
        <w:t>（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组织结构、</w:t>
      </w:r>
      <w:r>
        <w:rPr>
          <w:rFonts w:hint="eastAsia" w:eastAsia="仿宋"/>
          <w:color w:val="auto"/>
          <w:sz w:val="28"/>
          <w:szCs w:val="30"/>
        </w:rPr>
        <w:t>读书制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度）和</w:t>
      </w:r>
      <w:r>
        <w:rPr>
          <w:rFonts w:hint="eastAsia" w:eastAsia="仿宋"/>
          <w:color w:val="auto"/>
          <w:sz w:val="28"/>
          <w:szCs w:val="30"/>
        </w:rPr>
        <w:t>共读书目各1份</w:t>
      </w:r>
    </w:p>
    <w:p>
      <w:pPr>
        <w:spacing w:line="480" w:lineRule="exact"/>
        <w:ind w:firstLine="560" w:firstLineChars="200"/>
        <w:rPr>
          <w:rFonts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（3）活动照片、读书环境、读书氛围共5张，电子版照片格式为JPG，照片大小300K-1M。</w:t>
      </w:r>
    </w:p>
    <w:p>
      <w:pPr>
        <w:spacing w:line="480" w:lineRule="exact"/>
        <w:ind w:firstLine="560" w:firstLineChars="200"/>
        <w:rPr>
          <w:rFonts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（4）2000字左右的年度读书成效总结一份、班级读书报告PPT1份（PPT不超过20个页面）、</w:t>
      </w:r>
      <w:r>
        <w:rPr>
          <w:rFonts w:hint="eastAsia" w:eastAsia="仿宋"/>
          <w:b/>
          <w:bCs/>
          <w:color w:val="auto"/>
          <w:sz w:val="28"/>
          <w:szCs w:val="30"/>
        </w:rPr>
        <w:t>班级读书活动微视频1份</w:t>
      </w:r>
      <w:r>
        <w:rPr>
          <w:rFonts w:hint="eastAsia" w:eastAsia="仿宋"/>
          <w:b/>
          <w:color w:val="auto"/>
          <w:sz w:val="28"/>
          <w:szCs w:val="30"/>
        </w:rPr>
        <w:t>（不超过</w:t>
      </w:r>
      <w:r>
        <w:rPr>
          <w:rFonts w:hint="eastAsia" w:eastAsia="仿宋"/>
          <w:b/>
          <w:color w:val="auto"/>
          <w:sz w:val="28"/>
          <w:szCs w:val="30"/>
          <w:lang w:val="en-US" w:eastAsia="zh-CN"/>
        </w:rPr>
        <w:t>5</w:t>
      </w:r>
      <w:r>
        <w:rPr>
          <w:rFonts w:hint="eastAsia" w:eastAsia="仿宋"/>
          <w:b/>
          <w:color w:val="auto"/>
          <w:sz w:val="28"/>
          <w:szCs w:val="30"/>
        </w:rPr>
        <w:t>分钟），</w:t>
      </w:r>
      <w:r>
        <w:rPr>
          <w:rFonts w:hint="eastAsia" w:eastAsia="仿宋"/>
          <w:b w:val="0"/>
          <w:bCs/>
          <w:color w:val="auto"/>
          <w:sz w:val="28"/>
          <w:szCs w:val="30"/>
          <w:lang w:val="en-US" w:eastAsia="zh-CN"/>
        </w:rPr>
        <w:t>内容紧扣</w:t>
      </w:r>
      <w:r>
        <w:rPr>
          <w:rFonts w:hint="eastAsia" w:eastAsia="仿宋"/>
          <w:b w:val="0"/>
          <w:bCs/>
          <w:color w:val="auto"/>
          <w:sz w:val="28"/>
          <w:szCs w:val="30"/>
        </w:rPr>
        <w:t>“读</w:t>
      </w:r>
      <w:r>
        <w:rPr>
          <w:rFonts w:hint="eastAsia" w:eastAsia="仿宋"/>
          <w:color w:val="auto"/>
          <w:sz w:val="28"/>
          <w:szCs w:val="30"/>
        </w:rPr>
        <w:t>”“讲”“写”“传”“赛”书香班级基础建设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及所开展的阅读活动，</w:t>
      </w:r>
      <w:r>
        <w:rPr>
          <w:rFonts w:hint="eastAsia" w:eastAsia="仿宋"/>
          <w:b w:val="0"/>
          <w:bCs w:val="0"/>
          <w:color w:val="auto"/>
          <w:sz w:val="28"/>
          <w:szCs w:val="30"/>
        </w:rPr>
        <w:t>视频</w:t>
      </w:r>
      <w:r>
        <w:rPr>
          <w:rFonts w:hint="eastAsia" w:eastAsia="仿宋"/>
          <w:b w:val="0"/>
          <w:bCs w:val="0"/>
          <w:color w:val="auto"/>
          <w:sz w:val="28"/>
          <w:szCs w:val="30"/>
          <w:lang w:val="en-US" w:eastAsia="zh-CN"/>
        </w:rPr>
        <w:t>视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角新颖、编排得当、内容阳光感人、能激发人努力读书</w:t>
      </w:r>
      <w:r>
        <w:rPr>
          <w:rFonts w:hint="eastAsia" w:eastAsia="仿宋"/>
          <w:color w:val="auto"/>
          <w:sz w:val="28"/>
          <w:szCs w:val="30"/>
        </w:rPr>
        <w:t>。</w:t>
      </w:r>
    </w:p>
    <w:p>
      <w:pPr>
        <w:spacing w:line="480" w:lineRule="exact"/>
        <w:ind w:firstLine="560" w:firstLineChars="200"/>
        <w:rPr>
          <w:rFonts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（5）各校于11月1日前将申报“书香班级”材料纸本1份（可将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所有</w:t>
      </w:r>
      <w:r>
        <w:rPr>
          <w:rFonts w:hint="eastAsia" w:eastAsia="仿宋"/>
          <w:color w:val="auto"/>
          <w:sz w:val="28"/>
          <w:szCs w:val="30"/>
        </w:rPr>
        <w:t>材料一并装订成册）与电子版报送湖南省高等学校图书情报工作委员会秘书处（上传邮箱：hnstgw@xtu.edu.cn）。</w:t>
      </w:r>
    </w:p>
    <w:p>
      <w:pPr>
        <w:spacing w:line="480" w:lineRule="exact"/>
        <w:ind w:firstLine="560" w:firstLineChars="200"/>
        <w:rPr>
          <w:rFonts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3、评选程序</w:t>
      </w:r>
    </w:p>
    <w:p>
      <w:pPr>
        <w:spacing w:line="480" w:lineRule="exact"/>
        <w:ind w:firstLine="560" w:firstLineChars="200"/>
        <w:rPr>
          <w:rFonts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（1）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先</w:t>
      </w:r>
      <w:r>
        <w:rPr>
          <w:rFonts w:hint="eastAsia" w:eastAsia="仿宋"/>
          <w:color w:val="auto"/>
          <w:sz w:val="28"/>
          <w:szCs w:val="30"/>
        </w:rPr>
        <w:t>校内评选，</w:t>
      </w:r>
      <w:r>
        <w:rPr>
          <w:rFonts w:hint="eastAsia" w:eastAsia="仿宋"/>
          <w:b w:val="0"/>
          <w:bCs w:val="0"/>
          <w:color w:val="auto"/>
          <w:sz w:val="28"/>
          <w:szCs w:val="30"/>
          <w:lang w:val="en-US" w:eastAsia="zh-CN"/>
        </w:rPr>
        <w:t>再按本校本科生人数（以教育厅提供的2022年在校本科人数为基准）的万分之一比例（四舍五入）</w:t>
      </w:r>
      <w:r>
        <w:rPr>
          <w:rFonts w:hint="eastAsia" w:eastAsia="仿宋"/>
          <w:b w:val="0"/>
          <w:bCs w:val="0"/>
          <w:color w:val="auto"/>
          <w:sz w:val="28"/>
          <w:szCs w:val="30"/>
        </w:rPr>
        <w:t>推选</w:t>
      </w:r>
      <w:r>
        <w:rPr>
          <w:rFonts w:hint="eastAsia" w:eastAsia="仿宋"/>
          <w:color w:val="auto"/>
          <w:sz w:val="28"/>
          <w:szCs w:val="30"/>
        </w:rPr>
        <w:t>“书香班级”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个数，并</w:t>
      </w:r>
      <w:r>
        <w:rPr>
          <w:rFonts w:hint="eastAsia" w:eastAsia="仿宋"/>
          <w:color w:val="auto"/>
          <w:sz w:val="28"/>
          <w:szCs w:val="30"/>
        </w:rPr>
        <w:t>报送至省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高校</w:t>
      </w:r>
      <w:r>
        <w:rPr>
          <w:rFonts w:hint="eastAsia" w:eastAsia="仿宋"/>
          <w:color w:val="auto"/>
          <w:sz w:val="28"/>
          <w:szCs w:val="30"/>
        </w:rPr>
        <w:t>图工委秘书处。</w:t>
      </w:r>
    </w:p>
    <w:p>
      <w:pPr>
        <w:spacing w:line="480" w:lineRule="exact"/>
        <w:ind w:firstLine="560" w:firstLineChars="200"/>
        <w:rPr>
          <w:rFonts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（2）湖南省高等学校图书情报工作委员会秘书处组织进行材料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的</w:t>
      </w:r>
      <w:r>
        <w:rPr>
          <w:rFonts w:hint="eastAsia" w:eastAsia="仿宋"/>
          <w:color w:val="auto"/>
          <w:sz w:val="28"/>
          <w:szCs w:val="30"/>
        </w:rPr>
        <w:t>真实性审核与初评计分。计分点为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读书</w:t>
      </w:r>
      <w:r>
        <w:rPr>
          <w:rFonts w:hint="eastAsia" w:eastAsia="仿宋"/>
          <w:b w:val="0"/>
          <w:bCs/>
          <w:color w:val="auto"/>
          <w:sz w:val="28"/>
          <w:szCs w:val="30"/>
        </w:rPr>
        <w:t>活动微视频</w:t>
      </w:r>
      <w:r>
        <w:rPr>
          <w:rFonts w:hint="eastAsia" w:eastAsia="仿宋"/>
          <w:b/>
          <w:color w:val="auto"/>
          <w:sz w:val="28"/>
          <w:szCs w:val="30"/>
        </w:rPr>
        <w:t>、</w:t>
      </w:r>
      <w:r>
        <w:rPr>
          <w:rFonts w:hint="eastAsia" w:eastAsia="仿宋"/>
          <w:color w:val="auto"/>
          <w:sz w:val="28"/>
          <w:szCs w:val="30"/>
        </w:rPr>
        <w:t>书香班级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创建</w:t>
      </w:r>
      <w:r>
        <w:rPr>
          <w:rFonts w:hint="eastAsia" w:eastAsia="仿宋"/>
          <w:color w:val="auto"/>
          <w:sz w:val="28"/>
          <w:szCs w:val="30"/>
        </w:rPr>
        <w:t>机制、读书报告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PPT</w:t>
      </w:r>
      <w:r>
        <w:rPr>
          <w:rFonts w:hint="eastAsia" w:eastAsia="仿宋"/>
          <w:color w:val="auto"/>
          <w:sz w:val="28"/>
          <w:szCs w:val="30"/>
        </w:rPr>
        <w:t>、读书成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效总结</w:t>
      </w:r>
      <w:r>
        <w:rPr>
          <w:rFonts w:hint="eastAsia" w:eastAsia="仿宋"/>
          <w:color w:val="auto"/>
          <w:sz w:val="28"/>
          <w:szCs w:val="30"/>
        </w:rPr>
        <w:t>。计分初评淘汰不符合要求的申报材料。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书香班级评价总分（100分）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申报表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照片5张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  <w:lang w:val="en-US" w:eastAsia="zh-CN"/>
              </w:rPr>
              <w:t>创建</w:t>
            </w: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机制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读书</w:t>
            </w:r>
            <w:r>
              <w:rPr>
                <w:rFonts w:hint="eastAsia" w:eastAsia="仿宋"/>
                <w:color w:val="auto"/>
                <w:sz w:val="24"/>
                <w:shd w:val="clear" w:color="auto" w:fill="FFFFFF"/>
                <w:lang w:val="en-US" w:eastAsia="zh-CN"/>
              </w:rPr>
              <w:t>成效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总结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读书报告PPT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b/>
                <w:color w:val="auto"/>
                <w:sz w:val="24"/>
                <w:shd w:val="clear" w:color="auto" w:fill="FFFFFF"/>
                <w:lang w:val="en-US" w:eastAsia="zh-CN"/>
              </w:rPr>
              <w:t>读书</w:t>
            </w:r>
            <w:r>
              <w:rPr>
                <w:rFonts w:hint="eastAsia" w:eastAsia="仿宋"/>
                <w:b/>
                <w:color w:val="auto"/>
                <w:sz w:val="24"/>
                <w:shd w:val="clear" w:color="auto" w:fill="FFFFFF"/>
              </w:rPr>
              <w:t>活动微视频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5分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5</w:t>
            </w:r>
            <w:r>
              <w:rPr>
                <w:rFonts w:hint="eastAsia" w:eastAsia="仿宋"/>
                <w:color w:val="auto"/>
                <w:sz w:val="24"/>
                <w:shd w:val="clear" w:color="auto" w:fill="FFFFFF"/>
                <w:lang w:val="en-US" w:eastAsia="zh-CN"/>
              </w:rPr>
              <w:t>分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10分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分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20分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eastAsia="仿宋"/>
                <w:color w:val="auto"/>
                <w:sz w:val="24"/>
                <w:shd w:val="clear" w:color="auto" w:fill="FFFFFF"/>
              </w:rPr>
              <w:t>40分</w:t>
            </w:r>
          </w:p>
        </w:tc>
      </w:tr>
    </w:tbl>
    <w:p>
      <w:pPr>
        <w:spacing w:line="480" w:lineRule="exact"/>
        <w:ind w:firstLine="560" w:firstLineChars="200"/>
        <w:rPr>
          <w:rFonts w:eastAsia="仿宋"/>
          <w:color w:val="auto"/>
          <w:sz w:val="28"/>
          <w:szCs w:val="30"/>
        </w:rPr>
      </w:pPr>
      <w:r>
        <w:rPr>
          <w:rFonts w:hint="eastAsia" w:eastAsia="仿宋"/>
          <w:color w:val="auto"/>
          <w:sz w:val="28"/>
          <w:szCs w:val="30"/>
        </w:rPr>
        <w:t>（3）大众+专家评审。通过初评的申报材料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上传至</w:t>
      </w:r>
      <w:bookmarkStart w:id="0" w:name="_GoBack"/>
      <w:bookmarkEnd w:id="0"/>
      <w:r>
        <w:rPr>
          <w:rFonts w:hint="eastAsia" w:eastAsia="仿宋"/>
          <w:color w:val="auto"/>
          <w:sz w:val="28"/>
          <w:szCs w:val="30"/>
        </w:rPr>
        <w:t>相关媒体（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湖南</w:t>
      </w:r>
      <w:r>
        <w:rPr>
          <w:rFonts w:hint="eastAsia" w:eastAsia="仿宋"/>
          <w:color w:val="auto"/>
          <w:sz w:val="28"/>
          <w:szCs w:val="30"/>
        </w:rPr>
        <w:t>日报）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由大众</w:t>
      </w:r>
      <w:r>
        <w:rPr>
          <w:rFonts w:hint="eastAsia" w:eastAsia="仿宋"/>
          <w:color w:val="auto"/>
          <w:sz w:val="28"/>
          <w:szCs w:val="30"/>
        </w:rPr>
        <w:t>和省内外专家</w:t>
      </w:r>
      <w:r>
        <w:rPr>
          <w:rFonts w:hint="eastAsia" w:eastAsia="仿宋"/>
          <w:color w:val="auto"/>
          <w:sz w:val="28"/>
          <w:szCs w:val="30"/>
          <w:lang w:eastAsia="zh-CN"/>
        </w:rPr>
        <w:t>（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3-5名）</w:t>
      </w:r>
      <w:r>
        <w:rPr>
          <w:rFonts w:hint="eastAsia" w:eastAsia="仿宋"/>
          <w:color w:val="auto"/>
          <w:sz w:val="28"/>
          <w:szCs w:val="30"/>
        </w:rPr>
        <w:t>进行评审</w:t>
      </w:r>
      <w:r>
        <w:rPr>
          <w:rFonts w:hint="eastAsia" w:eastAsia="仿宋"/>
          <w:color w:val="auto"/>
          <w:sz w:val="28"/>
          <w:szCs w:val="30"/>
          <w:lang w:eastAsia="zh-CN"/>
        </w:rPr>
        <w:t>，</w:t>
      </w:r>
      <w:r>
        <w:rPr>
          <w:rFonts w:hint="eastAsia" w:eastAsia="仿宋"/>
          <w:color w:val="auto"/>
          <w:sz w:val="28"/>
          <w:szCs w:val="30"/>
        </w:rPr>
        <w:t>大众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评分权重为40%，专家评分权重为60%</w:t>
      </w:r>
      <w:r>
        <w:rPr>
          <w:rFonts w:hint="eastAsia" w:eastAsia="仿宋"/>
          <w:color w:val="auto"/>
          <w:sz w:val="28"/>
          <w:szCs w:val="30"/>
        </w:rPr>
        <w:t>。评出教育厅“书香班级奖”和图工委“书香班级奖”。</w:t>
      </w:r>
    </w:p>
    <w:p>
      <w:pPr>
        <w:spacing w:line="480" w:lineRule="exact"/>
        <w:ind w:firstLine="560" w:firstLineChars="200"/>
      </w:pPr>
      <w:r>
        <w:rPr>
          <w:rFonts w:hint="eastAsia" w:eastAsia="仿宋"/>
          <w:color w:val="auto"/>
          <w:sz w:val="28"/>
          <w:szCs w:val="30"/>
        </w:rPr>
        <w:t>（4）</w:t>
      </w:r>
      <w:r>
        <w:rPr>
          <w:rFonts w:hint="eastAsia" w:eastAsia="仿宋"/>
          <w:color w:val="auto"/>
          <w:sz w:val="28"/>
          <w:szCs w:val="30"/>
          <w:lang w:val="en-US" w:eastAsia="zh-CN"/>
        </w:rPr>
        <w:t>评奖结果报</w:t>
      </w:r>
      <w:r>
        <w:rPr>
          <w:rFonts w:hint="eastAsia" w:eastAsia="仿宋"/>
          <w:color w:val="auto"/>
          <w:sz w:val="28"/>
          <w:szCs w:val="30"/>
        </w:rPr>
        <w:t>湖南省教育厅审批。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OGE2YjM1ZTE5YjU2NGEyMWYyYmVhMTY5ZWIxODkifQ=="/>
  </w:docVars>
  <w:rsids>
    <w:rsidRoot w:val="42017549"/>
    <w:rsid w:val="0F125B50"/>
    <w:rsid w:val="10137041"/>
    <w:rsid w:val="25BD0DB8"/>
    <w:rsid w:val="3C8B7826"/>
    <w:rsid w:val="42017549"/>
    <w:rsid w:val="60037A11"/>
    <w:rsid w:val="60D41C82"/>
    <w:rsid w:val="72E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1236</Words>
  <Characters>1294</Characters>
  <Lines>0</Lines>
  <Paragraphs>0</Paragraphs>
  <TotalTime>6</TotalTime>
  <ScaleCrop>false</ScaleCrop>
  <LinksUpToDate>false</LinksUpToDate>
  <CharactersWithSpaces>1294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2023-05-30T09:46:00Z</dcterms:created>
  <dc:creator>我想静静</dc:creator>
  <cp:lastModifiedBy>我想静静</cp:lastModifiedBy>
  <dcterms:modified xsi:type="dcterms:W3CDTF">2023-05-31T08:01:35Z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3D00ED8BE161427FA8A4CA3D32304777_13</vt:lpwstr>
  </property>
</Properties>
</file>